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6FA" w:rsidRPr="00AD4CE9" w:rsidRDefault="000E46FA" w:rsidP="00715B59">
      <w:pPr>
        <w:spacing w:before="0" w:after="0" w:line="228" w:lineRule="auto"/>
        <w:jc w:val="both"/>
        <w:rPr>
          <w:rFonts w:ascii="Tahoma" w:hAnsi="Tahoma" w:cs="Tahoma"/>
        </w:rPr>
      </w:pPr>
      <w:bookmarkStart w:id="0" w:name="_GoBack"/>
      <w:bookmarkEnd w:id="0"/>
    </w:p>
    <w:p w:rsidR="0067758A" w:rsidRDefault="0067758A" w:rsidP="000F1700">
      <w:pPr>
        <w:pStyle w:val="Prrafodelista"/>
        <w:numPr>
          <w:ilvl w:val="0"/>
          <w:numId w:val="1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 xml:space="preserve">BALANCE GENERAL COMPARATIVO </w:t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F56475" w:rsidP="00AD4CE9">
      <w:pPr>
        <w:spacing w:before="0" w:after="0" w:line="228" w:lineRule="auto"/>
        <w:rPr>
          <w:rFonts w:ascii="Tahoma" w:hAnsi="Tahoma" w:cs="Tahoma"/>
          <w:noProof/>
        </w:rPr>
      </w:pPr>
      <w:r w:rsidRPr="00F56475">
        <w:rPr>
          <w:noProof/>
        </w:rPr>
        <w:drawing>
          <wp:inline distT="0" distB="0" distL="0" distR="0" wp14:anchorId="292DE36B" wp14:editId="607A475A">
            <wp:extent cx="5613400" cy="4745338"/>
            <wp:effectExtent l="0" t="0" r="635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745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BC5D7D" w:rsidRDefault="00F56475" w:rsidP="00AD4CE9">
      <w:pPr>
        <w:spacing w:before="0" w:after="0" w:line="228" w:lineRule="auto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595BC52D" wp14:editId="400CD36B">
            <wp:extent cx="4572000" cy="2733675"/>
            <wp:effectExtent l="0" t="0" r="19050" b="9525"/>
            <wp:docPr id="6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56475" w:rsidRDefault="00F56475" w:rsidP="00AD4CE9">
      <w:pPr>
        <w:spacing w:before="0" w:after="0" w:line="228" w:lineRule="auto"/>
        <w:rPr>
          <w:rFonts w:ascii="Tahoma" w:hAnsi="Tahoma" w:cs="Tahoma"/>
        </w:rPr>
      </w:pPr>
    </w:p>
    <w:p w:rsidR="00F56475" w:rsidRDefault="00F56475" w:rsidP="00AD4CE9">
      <w:pPr>
        <w:spacing w:before="0" w:after="0" w:line="228" w:lineRule="auto"/>
        <w:rPr>
          <w:rFonts w:ascii="Tahoma" w:hAnsi="Tahoma" w:cs="Tahoma"/>
        </w:rPr>
      </w:pPr>
    </w:p>
    <w:p w:rsidR="00F56475" w:rsidRDefault="00F56475" w:rsidP="00AD4CE9">
      <w:pPr>
        <w:spacing w:before="0" w:after="0" w:line="228" w:lineRule="auto"/>
        <w:rPr>
          <w:rFonts w:ascii="Tahoma" w:hAnsi="Tahoma" w:cs="Tahoma"/>
        </w:rPr>
      </w:pPr>
    </w:p>
    <w:p w:rsidR="00F56475" w:rsidRDefault="00096CAD" w:rsidP="00715B5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Dentro del Balance General Consolidado a 31 de diciembre de 2015 en el Municipio de Natagaima, se observa un total de Activos de “41.2 millones cifra que presenta entre las vigencias 2014 y 2015 un incremento positivo del 35.91% al pasar de $30.507 millones a $41.241 millones en el 2015.</w:t>
      </w:r>
    </w:p>
    <w:p w:rsidR="00096CAD" w:rsidRDefault="00096CAD" w:rsidP="00715B59">
      <w:pPr>
        <w:spacing w:before="0" w:after="0" w:line="228" w:lineRule="auto"/>
        <w:jc w:val="both"/>
        <w:rPr>
          <w:rFonts w:ascii="Tahoma" w:hAnsi="Tahoma" w:cs="Tahoma"/>
        </w:rPr>
      </w:pPr>
    </w:p>
    <w:p w:rsidR="00096CAD" w:rsidRDefault="00096CAD" w:rsidP="00715B5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cuenta de “Efectivo” que representa el 8.66% del total del activo se encuentra conformado así: 0.37% en caja y el 99% de los recursos se encuentran en depósitos de instituciones financieras.</w:t>
      </w:r>
    </w:p>
    <w:p w:rsidR="00096CAD" w:rsidRDefault="00096CAD" w:rsidP="00715B59">
      <w:pPr>
        <w:spacing w:before="0" w:after="0" w:line="228" w:lineRule="auto"/>
        <w:jc w:val="both"/>
        <w:rPr>
          <w:rFonts w:ascii="Tahoma" w:hAnsi="Tahoma" w:cs="Tahoma"/>
        </w:rPr>
      </w:pPr>
    </w:p>
    <w:p w:rsidR="00096CAD" w:rsidRDefault="00096CAD" w:rsidP="00715B59">
      <w:pPr>
        <w:spacing w:before="0" w:after="0" w:line="228" w:lineRule="auto"/>
        <w:jc w:val="both"/>
        <w:rPr>
          <w:rFonts w:ascii="Tahoma" w:hAnsi="Tahoma" w:cs="Tahoma"/>
        </w:rPr>
      </w:pPr>
    </w:p>
    <w:p w:rsidR="00096CAD" w:rsidRDefault="00096CAD" w:rsidP="00715B5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 cuanto al saldo de la cuenta “Caja” se observa que al finalizar la vigencia 2014 la cuenta registra la suma  $775.000, no obstante para la vigencia 2015 el saldo se incrementó en un</w:t>
      </w:r>
      <w:r w:rsidR="00C35A0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6.09% pasando de $775.000 a $13.5 millones, situación que debe ser revaluada </w:t>
      </w:r>
      <w:r w:rsidR="00C35A0C">
        <w:rPr>
          <w:rFonts w:ascii="Tahoma" w:hAnsi="Tahoma" w:cs="Tahoma"/>
        </w:rPr>
        <w:t>por la entidad, pues la cuenta caja a 31-12-2015 debe finalizar en 0.</w:t>
      </w:r>
    </w:p>
    <w:p w:rsidR="00C35A0C" w:rsidRDefault="00C35A0C" w:rsidP="00715B59">
      <w:pPr>
        <w:spacing w:before="0" w:after="0" w:line="228" w:lineRule="auto"/>
        <w:jc w:val="both"/>
        <w:rPr>
          <w:rFonts w:ascii="Tahoma" w:hAnsi="Tahoma" w:cs="Tahoma"/>
        </w:rPr>
      </w:pPr>
    </w:p>
    <w:p w:rsidR="00092D3A" w:rsidRDefault="00C35A0C" w:rsidP="00715B5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“Depósitos e Instituciones Financieras”, el saldo de la cuenta para la vigencia 2015 presentó una disminución del 4% al pasar en el 2014 de $5.938,45 millones a $3.560,8 millones.  Dentro de esta cuenta se tiene que el 16.7% se encuentra </w:t>
      </w:r>
      <w:r w:rsidR="00092D3A">
        <w:rPr>
          <w:rFonts w:ascii="Tahoma" w:hAnsi="Tahoma" w:cs="Tahoma"/>
        </w:rPr>
        <w:t>consignados en cuentas corrientes mientras que el 75.68% en cuentas de ahorro.</w:t>
      </w:r>
    </w:p>
    <w:p w:rsidR="00092D3A" w:rsidRDefault="00092D3A" w:rsidP="00715B59">
      <w:pPr>
        <w:spacing w:before="0" w:after="0" w:line="228" w:lineRule="auto"/>
        <w:jc w:val="both"/>
        <w:rPr>
          <w:rFonts w:ascii="Tahoma" w:hAnsi="Tahoma" w:cs="Tahoma"/>
        </w:rPr>
      </w:pPr>
    </w:p>
    <w:p w:rsidR="00092D3A" w:rsidRDefault="00092D3A" w:rsidP="00715B5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Las Rentas por cobrar que representan dentro de la estructura del activo el 4.95% presentaron entre las vigencias 2014 y 2015 un incremento del 179,04% al pasar de </w:t>
      </w:r>
      <w:r>
        <w:rPr>
          <w:rFonts w:ascii="Tahoma" w:hAnsi="Tahoma" w:cs="Tahoma"/>
        </w:rPr>
        <w:lastRenderedPageBreak/>
        <w:t>$731,5 millones a $2.041 millones en el 2015.  El 100% del valor registrado corresponde a Rentas por Cobrar de vigencias anteriores.</w:t>
      </w:r>
    </w:p>
    <w:p w:rsidR="00092D3A" w:rsidRDefault="00092D3A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092D3A" w:rsidRDefault="00092D3A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Cuenta “Deudores” que representa el 29.95% dentro del activo, finalizó la vigencia 2015 con un incremento en su saldo del 520.5 % al pasar en el 2014 de $1.992,4 millones a $12.354,3 millones en el 2015; la causa obedeció a las transferencias que quedaron pendientes de cobrar entre esos los ingresos no tributarios y los recursos de regalías.</w:t>
      </w:r>
    </w:p>
    <w:p w:rsidR="00092D3A" w:rsidRDefault="00092D3A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092D3A" w:rsidRDefault="00092D3A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 cuanto al “Pasivo” tenemos que el saldo registrado a 2015 de $14.692,5 finalizó con un crecimiento del 95.71%frente a lo contabilizado en el 2014 ($7.507.1 millones).</w:t>
      </w:r>
    </w:p>
    <w:p w:rsidR="00092D3A" w:rsidRDefault="00092D3A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D85DD3" w:rsidRDefault="00092D3A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Dentro de este grupo sobresalen por su disminución porcentual entre las dos vigencias 2014 y 2015</w:t>
      </w:r>
      <w:r w:rsidR="004C2EA2">
        <w:rPr>
          <w:rFonts w:ascii="Tahoma" w:hAnsi="Tahoma" w:cs="Tahoma"/>
        </w:rPr>
        <w:t xml:space="preserve"> </w:t>
      </w:r>
      <w:proofErr w:type="gramStart"/>
      <w:r w:rsidR="004C2EA2">
        <w:rPr>
          <w:rFonts w:ascii="Tahoma" w:hAnsi="Tahoma" w:cs="Tahoma"/>
        </w:rPr>
        <w:t>“ Las</w:t>
      </w:r>
      <w:proofErr w:type="gramEnd"/>
      <w:r w:rsidR="004C2EA2">
        <w:rPr>
          <w:rFonts w:ascii="Tahoma" w:hAnsi="Tahoma" w:cs="Tahoma"/>
        </w:rPr>
        <w:t xml:space="preserve"> cuentas de “Operación de Crédito Público”  que paso en el 2014 de $690.7 millones a $399,5 millones en el 20185. Y la cuenta “Obligaciones Laborales” que disminuyo </w:t>
      </w:r>
      <w:r w:rsidR="00D85DD3">
        <w:rPr>
          <w:rFonts w:ascii="Tahoma" w:hAnsi="Tahoma" w:cs="Tahoma"/>
        </w:rPr>
        <w:t>su saldo en 24.26% entre las mismas vigencias.</w:t>
      </w:r>
    </w:p>
    <w:p w:rsidR="00D85DD3" w:rsidRDefault="00D85DD3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D85DD3" w:rsidRDefault="00D85DD3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Contrario a las cuentas que se acaban de hacer mención, se tiene el caso de las “Cuentas Por Pagar” cuyo saldo finalizó en $11.995 ,4 millones es decir el 165.6% más de lo  registrado en el 2014 ($4.515,9 millones).</w:t>
      </w:r>
    </w:p>
    <w:p w:rsidR="00D85DD3" w:rsidRDefault="00D85DD3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D85DD3" w:rsidRDefault="00B24CA8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Sobre la cuentas del Pasivo, se tienen que las mismas presentaron un incremento del 15.43% al pasar del 2014 ($22.909,9 millones)  a $26.548, 5 millones en el 2015.</w:t>
      </w:r>
    </w:p>
    <w:p w:rsidR="00B24CA8" w:rsidRDefault="00B24CA8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B24CA8" w:rsidRDefault="00B24CA8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Dentro de este grupo es importante indicar que el resultado del ejercicio fue menor en $1.421,4 millones frente a lo percibido en el 2014, pues en esta </w:t>
      </w:r>
      <w:proofErr w:type="gramStart"/>
      <w:r>
        <w:rPr>
          <w:rFonts w:ascii="Tahoma" w:hAnsi="Tahoma" w:cs="Tahoma"/>
        </w:rPr>
        <w:t>ultima</w:t>
      </w:r>
      <w:proofErr w:type="gramEnd"/>
      <w:r>
        <w:rPr>
          <w:rFonts w:ascii="Tahoma" w:hAnsi="Tahoma" w:cs="Tahoma"/>
        </w:rPr>
        <w:t xml:space="preserve"> la cifra finalizó en $2.236, 5 millones.</w:t>
      </w:r>
    </w:p>
    <w:p w:rsidR="00D85DD3" w:rsidRDefault="00D85DD3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C35A0C" w:rsidRDefault="00092D3A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C35A0C">
        <w:rPr>
          <w:rFonts w:ascii="Tahoma" w:hAnsi="Tahoma" w:cs="Tahoma"/>
        </w:rPr>
        <w:t xml:space="preserve"> </w:t>
      </w:r>
    </w:p>
    <w:p w:rsidR="00B24CA8" w:rsidRPr="00AD4CE9" w:rsidRDefault="00B24CA8" w:rsidP="00B24CA8">
      <w:pPr>
        <w:spacing w:before="0" w:after="0" w:line="228" w:lineRule="auto"/>
        <w:rPr>
          <w:rFonts w:ascii="Tahoma" w:hAnsi="Tahoma" w:cs="Tahoma"/>
        </w:rPr>
      </w:pPr>
    </w:p>
    <w:p w:rsidR="00B24CA8" w:rsidRDefault="00B24CA8" w:rsidP="000F1700">
      <w:pPr>
        <w:pStyle w:val="Prrafodelista"/>
        <w:numPr>
          <w:ilvl w:val="0"/>
          <w:numId w:val="2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ESTADO DE ACTIVIDAD FINANCIERA, ECONÓMICA, SOCIAL Y AMBIENTAL COMPARATIVO</w:t>
      </w:r>
    </w:p>
    <w:p w:rsidR="00B24CA8" w:rsidRDefault="00B24CA8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  <w:r w:rsidRPr="000971C2">
        <w:rPr>
          <w:noProof/>
        </w:rPr>
        <w:drawing>
          <wp:inline distT="0" distB="0" distL="0" distR="0" wp14:anchorId="17F19E32" wp14:editId="2B4EA50E">
            <wp:extent cx="5613400" cy="6021044"/>
            <wp:effectExtent l="0" t="0" r="635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6021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Pr="00AD4CE9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B24CA8" w:rsidRPr="00AD4CE9" w:rsidRDefault="00B66376" w:rsidP="00B24CA8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 wp14:anchorId="01F9D4A0">
            <wp:extent cx="4584700" cy="3066415"/>
            <wp:effectExtent l="0" t="0" r="6350" b="63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306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6376" w:rsidRDefault="00B66376" w:rsidP="00B24CA8">
      <w:pPr>
        <w:spacing w:before="0" w:after="0" w:line="228" w:lineRule="auto"/>
        <w:rPr>
          <w:rFonts w:ascii="Tahoma" w:hAnsi="Tahoma" w:cs="Tahoma"/>
        </w:rPr>
      </w:pPr>
    </w:p>
    <w:p w:rsidR="00B66376" w:rsidRDefault="00B66376" w:rsidP="00B24CA8">
      <w:pPr>
        <w:spacing w:before="0" w:after="0" w:line="228" w:lineRule="auto"/>
        <w:rPr>
          <w:rFonts w:ascii="Tahoma" w:hAnsi="Tahoma" w:cs="Tahoma"/>
        </w:rPr>
      </w:pPr>
    </w:p>
    <w:p w:rsidR="00B24CA8" w:rsidRDefault="00B24CA8" w:rsidP="00B24CA8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La </w:t>
      </w:r>
      <w:r w:rsidR="004A31AA">
        <w:rPr>
          <w:rFonts w:ascii="Tahoma" w:hAnsi="Tahoma" w:cs="Tahoma"/>
        </w:rPr>
        <w:t xml:space="preserve"> Actividad  financiera del Municipio de Natagaima refleja unos ingresos en cuantía de $20.841,4 millones, el 5.70% más de lo que percibido en el 2014($19.717,5 millones).</w:t>
      </w:r>
    </w:p>
    <w:p w:rsidR="004A31AA" w:rsidRDefault="004A31AA" w:rsidP="00B24CA8">
      <w:pPr>
        <w:spacing w:before="0" w:after="0" w:line="228" w:lineRule="auto"/>
        <w:rPr>
          <w:rFonts w:ascii="Tahoma" w:hAnsi="Tahoma" w:cs="Tahoma"/>
        </w:rPr>
      </w:pPr>
    </w:p>
    <w:p w:rsidR="004A31AA" w:rsidRDefault="004A31AA" w:rsidP="00B24CA8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Sobresalen  dentro de  los ingresos el comportamiento de los “Ingresos No Tributarios y venta de bienes los cuales  alcanzaron crecimiento de 181,21% y 99,</w:t>
      </w:r>
      <w:r w:rsidR="00715B59">
        <w:rPr>
          <w:rFonts w:ascii="Tahoma" w:hAnsi="Tahoma" w:cs="Tahoma"/>
        </w:rPr>
        <w:t xml:space="preserve">26%, mientras que los ingresos tributarios solo </w:t>
      </w:r>
      <w:r w:rsidR="0098778A">
        <w:rPr>
          <w:rFonts w:ascii="Tahoma" w:hAnsi="Tahoma" w:cs="Tahoma"/>
        </w:rPr>
        <w:t>fue del 54.18%.</w:t>
      </w:r>
    </w:p>
    <w:p w:rsidR="0098778A" w:rsidRDefault="0098778A" w:rsidP="00B24CA8">
      <w:pPr>
        <w:spacing w:before="0" w:after="0" w:line="228" w:lineRule="auto"/>
        <w:rPr>
          <w:rFonts w:ascii="Tahoma" w:hAnsi="Tahoma" w:cs="Tahoma"/>
        </w:rPr>
      </w:pPr>
    </w:p>
    <w:p w:rsidR="0098778A" w:rsidRDefault="0098778A" w:rsidP="0098778A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Recursos provenientes del Sistema General de Participaciones, presentaron una disminución  del 8.99%  al pasar en el (2014) de  $5.522 millones a  $5.025,4 millones en el 2015.</w:t>
      </w:r>
    </w:p>
    <w:p w:rsidR="0098778A" w:rsidRDefault="0098778A" w:rsidP="0098778A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Analizados los recursos destinados para cada sector, se observa que los menos favorecidos fueron los sectores de Salud, Propósito General  y Alimentación Escolar pues los  mismos presentaron entre las vigencias 2014 y 2015 una disminución de recursos que alcanzaron el 12.95%, 9.71% y 12.90% respectivamente.</w:t>
      </w:r>
    </w:p>
    <w:p w:rsidR="0098778A" w:rsidRDefault="0098778A" w:rsidP="0098778A">
      <w:pPr>
        <w:spacing w:before="0" w:after="0" w:line="228" w:lineRule="auto"/>
        <w:jc w:val="both"/>
        <w:rPr>
          <w:rFonts w:ascii="Tahoma" w:hAnsi="Tahoma" w:cs="Tahoma"/>
        </w:rPr>
      </w:pPr>
    </w:p>
    <w:p w:rsidR="0098778A" w:rsidRDefault="0098778A" w:rsidP="0098778A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 cuanto a los recursos provenientes del Sistema de Regalías sus ingresos presentaron un comportamiento inverso al aumentar entre las mismas vigencias un 101.8% de los recursos captados pues pasaron de $1.555,8 millones en el 2014 a obtener ingresos por este mismo concepto de $2.333,3 millones.</w:t>
      </w:r>
    </w:p>
    <w:p w:rsidR="00005BD7" w:rsidRDefault="00005BD7" w:rsidP="0098778A">
      <w:pPr>
        <w:spacing w:before="0" w:after="0" w:line="228" w:lineRule="auto"/>
        <w:jc w:val="both"/>
        <w:rPr>
          <w:rFonts w:ascii="Tahoma" w:hAnsi="Tahoma" w:cs="Tahoma"/>
        </w:rPr>
      </w:pPr>
    </w:p>
    <w:p w:rsidR="00005BD7" w:rsidRDefault="00005BD7" w:rsidP="0098778A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Los gastos por su parte presentaron un incremento en su saldo que alcanzó el 15.85% pasando en el 2014 de generar gastos en cuantía de $16.059,5 millones a $18.604,6 millones en el 2015.</w:t>
      </w:r>
    </w:p>
    <w:p w:rsidR="00005BD7" w:rsidRDefault="00005BD7" w:rsidP="0098778A">
      <w:pPr>
        <w:spacing w:before="0" w:after="0" w:line="228" w:lineRule="auto"/>
        <w:jc w:val="both"/>
        <w:rPr>
          <w:rFonts w:ascii="Tahoma" w:hAnsi="Tahoma" w:cs="Tahoma"/>
        </w:rPr>
      </w:pPr>
    </w:p>
    <w:p w:rsidR="00005BD7" w:rsidRDefault="00005BD7" w:rsidP="0098778A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Analizado el comportamiento de los “Gastos Público Social”  se puede apreciar que existió entre las dos vigencias una disminución del 16.64%, pasando de contabilizar gastos en el 2014 en cuantía de $13.380,6 millones a $11.154,3 millones en el 2015-</w:t>
      </w:r>
    </w:p>
    <w:p w:rsidR="00005BD7" w:rsidRDefault="00005BD7" w:rsidP="0098778A">
      <w:pPr>
        <w:spacing w:before="0" w:after="0" w:line="228" w:lineRule="auto"/>
        <w:jc w:val="both"/>
        <w:rPr>
          <w:rFonts w:ascii="Tahoma" w:hAnsi="Tahoma" w:cs="Tahoma"/>
        </w:rPr>
      </w:pPr>
    </w:p>
    <w:p w:rsidR="00005BD7" w:rsidRPr="00AD4CE9" w:rsidRDefault="00005BD7" w:rsidP="0098778A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 cuanto a los sectores a los cuales se contabilizó menos gastos fueron los de Educación, Salud y Recreación y Deporte pues en su orden disminuyeron</w:t>
      </w:r>
      <w:r w:rsidR="00974E10">
        <w:rPr>
          <w:rFonts w:ascii="Tahoma" w:hAnsi="Tahoma" w:cs="Tahoma"/>
        </w:rPr>
        <w:t xml:space="preserve"> entre el 2014 y 2015 </w:t>
      </w:r>
      <w:r>
        <w:rPr>
          <w:rFonts w:ascii="Tahoma" w:hAnsi="Tahoma" w:cs="Tahoma"/>
        </w:rPr>
        <w:t xml:space="preserve"> sus gastos en  un </w:t>
      </w:r>
      <w:r w:rsidR="00974E10">
        <w:rPr>
          <w:rFonts w:ascii="Tahoma" w:hAnsi="Tahoma" w:cs="Tahoma"/>
        </w:rPr>
        <w:t>53.95%, 80.08% y 89.05% respectivamente, alcanzando al cierre del periodo fiscal 2015 las sumas de $416,3 millones para  Salud, $1.457,3 millones para Educación y $115,9 millones para Recreación y Deporte.</w:t>
      </w:r>
    </w:p>
    <w:p w:rsidR="00F56475" w:rsidRDefault="00F56475" w:rsidP="00AD4CE9">
      <w:pPr>
        <w:spacing w:before="0" w:after="0" w:line="228" w:lineRule="auto"/>
        <w:rPr>
          <w:rFonts w:ascii="Tahoma" w:hAnsi="Tahoma" w:cs="Tahoma"/>
        </w:rPr>
      </w:pPr>
    </w:p>
    <w:p w:rsidR="00F56475" w:rsidRDefault="00974E10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El sector vivienda presentó un comportamiento inverso,  pasando de registrar en el 2015 un saldo de $9.5 millones a $1.631,1 millones en el 2015, resultado que representa entre las dos vigencias un incremento del 16.930%</w:t>
      </w:r>
    </w:p>
    <w:p w:rsidR="00F56475" w:rsidRDefault="00F56475" w:rsidP="00AD4CE9">
      <w:pPr>
        <w:spacing w:before="0" w:after="0" w:line="228" w:lineRule="auto"/>
        <w:rPr>
          <w:rFonts w:ascii="Tahoma" w:hAnsi="Tahoma" w:cs="Tahoma"/>
        </w:rPr>
      </w:pPr>
    </w:p>
    <w:p w:rsidR="00B66376" w:rsidRDefault="00B66376" w:rsidP="00AD4CE9">
      <w:pPr>
        <w:spacing w:before="0" w:after="0" w:line="228" w:lineRule="auto"/>
        <w:rPr>
          <w:rFonts w:ascii="Tahoma" w:hAnsi="Tahoma" w:cs="Tahoma"/>
        </w:rPr>
      </w:pPr>
    </w:p>
    <w:p w:rsidR="00BC5D7D" w:rsidRPr="00AD4CE9" w:rsidRDefault="00814D3D" w:rsidP="000F1700">
      <w:pPr>
        <w:pStyle w:val="Prrafodelista"/>
        <w:numPr>
          <w:ilvl w:val="0"/>
          <w:numId w:val="2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APLICACIÓN DE INDICADORES FINANCIEROS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814D3D" w:rsidP="000F1700">
      <w:pPr>
        <w:pStyle w:val="Prrafodelista"/>
        <w:numPr>
          <w:ilvl w:val="1"/>
          <w:numId w:val="2"/>
        </w:num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Indicadores de liquidez y Solvencia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</w:t>
      </w:r>
      <w:r w:rsidR="00814D3D" w:rsidRPr="00AD4CE9">
        <w:rPr>
          <w:rFonts w:ascii="Tahoma" w:hAnsi="Tahoma" w:cs="Tahoma"/>
        </w:rPr>
        <w:t xml:space="preserve"> Corriente: nos muestra la capacidad que tiene la entidad</w:t>
      </w:r>
      <w:r w:rsidRPr="00AD4CE9">
        <w:rPr>
          <w:rFonts w:ascii="Tahoma" w:hAnsi="Tahoma" w:cs="Tahoma"/>
        </w:rPr>
        <w:t xml:space="preserve"> para cubrir sus deudas en el corto plazo, ya que indica por cada peso que se debe, con cuantos se cuenta para respaldarlo.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/ Pasivo Corriente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Activo Corriente: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B66376">
        <w:rPr>
          <w:rFonts w:ascii="Tahoma" w:hAnsi="Tahoma" w:cs="Tahoma"/>
        </w:rPr>
        <w:t>3.574.399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  <w:t xml:space="preserve">  </w:t>
      </w:r>
      <w:r w:rsidR="00B66376">
        <w:rPr>
          <w:rFonts w:ascii="Tahoma" w:hAnsi="Tahoma" w:cs="Tahoma"/>
        </w:rPr>
        <w:t>2.041.448</w:t>
      </w:r>
    </w:p>
    <w:p w:rsidR="001666F5" w:rsidRPr="00AD4CE9" w:rsidRDefault="001666F5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Deudores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 xml:space="preserve"> </w:t>
      </w:r>
      <w:r w:rsidR="00B66376">
        <w:rPr>
          <w:rFonts w:ascii="Tahoma" w:hAnsi="Tahoma" w:cs="Tahoma"/>
        </w:rPr>
        <w:t>12.354.365</w:t>
      </w:r>
      <w:r w:rsidR="003D5BDF">
        <w:rPr>
          <w:rFonts w:ascii="Tahoma" w:hAnsi="Tahoma" w:cs="Tahoma"/>
        </w:rPr>
        <w:t xml:space="preserve">  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>----------------</w:t>
      </w:r>
      <w:r w:rsidR="000467A1" w:rsidRPr="00AD4CE9">
        <w:rPr>
          <w:rFonts w:ascii="Tahoma" w:hAnsi="Tahoma" w:cs="Tahoma"/>
        </w:rPr>
        <w:t>----</w:t>
      </w:r>
    </w:p>
    <w:p w:rsidR="001666F5" w:rsidRPr="00AD4CE9" w:rsidRDefault="00B66376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$17.970.212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Pasivo Corriente: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Op</w:t>
      </w:r>
      <w:r w:rsidR="000467A1" w:rsidRPr="00AD4CE9">
        <w:rPr>
          <w:rFonts w:ascii="Tahoma" w:hAnsi="Tahoma" w:cs="Tahoma"/>
        </w:rPr>
        <w:t>eracion</w:t>
      </w:r>
      <w:r w:rsidR="003D5BDF">
        <w:rPr>
          <w:rFonts w:ascii="Tahoma" w:hAnsi="Tahoma" w:cs="Tahoma"/>
        </w:rPr>
        <w:t xml:space="preserve">es </w:t>
      </w:r>
      <w:r w:rsidR="00B66376">
        <w:rPr>
          <w:rFonts w:ascii="Tahoma" w:hAnsi="Tahoma" w:cs="Tahoma"/>
        </w:rPr>
        <w:t>de crédito publico</w:t>
      </w:r>
      <w:r w:rsidR="00B66376">
        <w:rPr>
          <w:rFonts w:ascii="Tahoma" w:hAnsi="Tahoma" w:cs="Tahoma"/>
        </w:rPr>
        <w:tab/>
      </w:r>
      <w:r w:rsidR="00310359">
        <w:rPr>
          <w:rFonts w:ascii="Tahoma" w:hAnsi="Tahoma" w:cs="Tahoma"/>
        </w:rPr>
        <w:t xml:space="preserve">            </w:t>
      </w:r>
      <w:r w:rsidR="00B66376">
        <w:rPr>
          <w:rFonts w:ascii="Tahoma" w:hAnsi="Tahoma" w:cs="Tahoma"/>
        </w:rPr>
        <w:t>$</w:t>
      </w:r>
      <w:r w:rsidR="00310359">
        <w:rPr>
          <w:rFonts w:ascii="Tahoma" w:hAnsi="Tahoma" w:cs="Tahoma"/>
        </w:rPr>
        <w:t xml:space="preserve">   </w:t>
      </w:r>
      <w:r w:rsidR="00B66376">
        <w:rPr>
          <w:rFonts w:ascii="Tahoma" w:hAnsi="Tahoma" w:cs="Tahoma"/>
        </w:rPr>
        <w:t>399.571</w:t>
      </w:r>
    </w:p>
    <w:p w:rsidR="001666F5" w:rsidRPr="00AD4CE9" w:rsidRDefault="00B66376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Cuentas por Pagar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11.995.436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Obligaciones Laborales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="000467A1" w:rsidRPr="00AD4CE9">
        <w:rPr>
          <w:rFonts w:ascii="Tahoma" w:hAnsi="Tahoma" w:cs="Tahoma"/>
        </w:rPr>
        <w:t xml:space="preserve">    </w:t>
      </w:r>
      <w:r w:rsidRPr="00AD4CE9">
        <w:rPr>
          <w:rFonts w:ascii="Tahoma" w:hAnsi="Tahoma" w:cs="Tahoma"/>
        </w:rPr>
        <w:t xml:space="preserve"> </w:t>
      </w:r>
      <w:r w:rsidR="00310359">
        <w:rPr>
          <w:rFonts w:ascii="Tahoma" w:hAnsi="Tahoma" w:cs="Tahoma"/>
        </w:rPr>
        <w:t xml:space="preserve"> 569.099</w:t>
      </w:r>
    </w:p>
    <w:p w:rsidR="001666F5" w:rsidRPr="00AD4CE9" w:rsidRDefault="000467A1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    </w:t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 xml:space="preserve">          ---</w:t>
      </w:r>
      <w:r w:rsidR="001666F5" w:rsidRPr="00AD4CE9">
        <w:rPr>
          <w:rFonts w:ascii="Tahoma" w:hAnsi="Tahoma" w:cs="Tahoma"/>
        </w:rPr>
        <w:t>----------------</w:t>
      </w:r>
    </w:p>
    <w:p w:rsidR="001666F5" w:rsidRPr="00AD4CE9" w:rsidRDefault="00310359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$12.964.106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310359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Razón Corriente  $17.970.212 / $12.964.106</w:t>
      </w:r>
      <w:r w:rsidR="001666F5" w:rsidRPr="00AD4CE9">
        <w:rPr>
          <w:rFonts w:ascii="Tahoma" w:hAnsi="Tahoma" w:cs="Tahoma"/>
        </w:rPr>
        <w:t xml:space="preserve"> = </w:t>
      </w:r>
      <w:r>
        <w:rPr>
          <w:rFonts w:ascii="Tahoma" w:hAnsi="Tahoma" w:cs="Tahoma"/>
        </w:rPr>
        <w:t>1,38</w:t>
      </w:r>
    </w:p>
    <w:p w:rsidR="00A7456E" w:rsidRPr="00AD4CE9" w:rsidRDefault="00A7456E" w:rsidP="00AD4CE9">
      <w:pPr>
        <w:spacing w:before="0" w:after="0" w:line="228" w:lineRule="auto"/>
        <w:rPr>
          <w:rFonts w:ascii="Tahoma" w:hAnsi="Tahoma" w:cs="Tahoma"/>
        </w:rPr>
      </w:pPr>
    </w:p>
    <w:p w:rsidR="008A0D90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muestra que por cada peso que</w:t>
      </w:r>
      <w:r w:rsidR="008A0D90">
        <w:rPr>
          <w:rFonts w:ascii="Tahoma" w:hAnsi="Tahoma" w:cs="Tahoma"/>
        </w:rPr>
        <w:t xml:space="preserve"> la Ad</w:t>
      </w:r>
      <w:r w:rsidR="00310359">
        <w:rPr>
          <w:rFonts w:ascii="Tahoma" w:hAnsi="Tahoma" w:cs="Tahoma"/>
        </w:rPr>
        <w:t>ministración Municipal de Natagaima</w:t>
      </w:r>
      <w:r w:rsidR="00204E7B" w:rsidRPr="00AD4CE9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 debe a corto plazo, cuenta con </w:t>
      </w:r>
      <w:r w:rsidR="00310359">
        <w:rPr>
          <w:rFonts w:ascii="Tahoma" w:hAnsi="Tahoma" w:cs="Tahoma"/>
        </w:rPr>
        <w:t>1,38</w:t>
      </w:r>
      <w:r w:rsidR="00204E7B" w:rsidRPr="00AD4CE9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 pesos en activos corriente para cubrirlos, lo que significa que el mencionado munic</w:t>
      </w:r>
      <w:r w:rsidR="008A0D90">
        <w:rPr>
          <w:rFonts w:ascii="Tahoma" w:hAnsi="Tahoma" w:cs="Tahoma"/>
        </w:rPr>
        <w:t xml:space="preserve">ipio refleja liquidez </w:t>
      </w:r>
      <w:r w:rsidRPr="00AD4CE9">
        <w:rPr>
          <w:rFonts w:ascii="Tahoma" w:hAnsi="Tahoma" w:cs="Tahoma"/>
        </w:rPr>
        <w:t xml:space="preserve"> para cubrir sus pasivos de corto plazo.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CAPITAL NETO DE TRABAJO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– Pasivo Corriente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310359" w:rsidP="008A0D90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$17.970.212 - $12.964.106</w:t>
      </w:r>
      <w:r w:rsidR="00204E7B" w:rsidRPr="00AD4CE9">
        <w:rPr>
          <w:rFonts w:ascii="Tahoma" w:hAnsi="Tahoma" w:cs="Tahoma"/>
        </w:rPr>
        <w:t xml:space="preserve"> </w:t>
      </w:r>
      <w:r w:rsidR="00A7456E" w:rsidRPr="00AD4CE9">
        <w:rPr>
          <w:rFonts w:ascii="Tahoma" w:hAnsi="Tahoma" w:cs="Tahoma"/>
        </w:rPr>
        <w:t>= $</w:t>
      </w:r>
      <w:r>
        <w:rPr>
          <w:rFonts w:ascii="Tahoma" w:hAnsi="Tahoma" w:cs="Tahoma"/>
        </w:rPr>
        <w:t>5.006,106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indica que el ente territorial cuenta con suficientes recursos propios para operar.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NIVEL DE ENDEUDAMIENTO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Este indicador nos presenta el porcentaje de participación de los acreedores dentro de los activos del ente territorial.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Pasivo Total con Terceros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1035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12.964.106 /41.241.089</w:t>
      </w:r>
      <w:r w:rsidR="008A1B70" w:rsidRPr="00AD4CE9">
        <w:rPr>
          <w:rFonts w:ascii="Tahoma" w:hAnsi="Tahoma" w:cs="Tahoma"/>
        </w:rPr>
        <w:t xml:space="preserve"> </w:t>
      </w:r>
      <w:r w:rsidR="003E25A9" w:rsidRPr="00AD4CE9">
        <w:rPr>
          <w:rFonts w:ascii="Tahoma" w:hAnsi="Tahoma" w:cs="Tahoma"/>
        </w:rPr>
        <w:t xml:space="preserve">= </w:t>
      </w:r>
      <w:r>
        <w:rPr>
          <w:rFonts w:ascii="Tahoma" w:hAnsi="Tahoma" w:cs="Tahoma"/>
        </w:rPr>
        <w:t>31.43</w:t>
      </w:r>
      <w:r w:rsidR="003E25A9" w:rsidRPr="00AD4CE9">
        <w:rPr>
          <w:rFonts w:ascii="Tahoma" w:hAnsi="Tahoma" w:cs="Tahoma"/>
        </w:rPr>
        <w:t>%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anterior resultado nos indica que del total de activos que posee el municipio, el </w:t>
      </w:r>
      <w:r w:rsidR="00310359">
        <w:rPr>
          <w:rFonts w:ascii="Tahoma" w:hAnsi="Tahoma" w:cs="Tahoma"/>
        </w:rPr>
        <w:t>31.43</w:t>
      </w:r>
      <w:r w:rsidRPr="00AD4CE9">
        <w:rPr>
          <w:rFonts w:ascii="Tahoma" w:hAnsi="Tahoma" w:cs="Tahoma"/>
        </w:rPr>
        <w:t>% está siendo financiado por los acreedores.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 DEL PATRIMONIO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Nos muestra hasta </w:t>
      </w:r>
      <w:r w:rsidR="009F3F48" w:rsidRPr="00AD4CE9">
        <w:rPr>
          <w:rFonts w:ascii="Tahoma" w:hAnsi="Tahoma" w:cs="Tahoma"/>
        </w:rPr>
        <w:t>qué</w:t>
      </w:r>
      <w:r w:rsidRPr="00AD4CE9">
        <w:rPr>
          <w:rFonts w:ascii="Tahoma" w:hAnsi="Tahoma" w:cs="Tahoma"/>
        </w:rPr>
        <w:t xml:space="preserve"> punto la entidad territorial tiene independencia financiera ante sus acreedores, se determina dividiendo el valor del patrimonio entre el activo total.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Patrimonio Total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764ABD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$</w:t>
      </w:r>
      <w:r w:rsidR="00310359">
        <w:rPr>
          <w:rFonts w:ascii="Tahoma" w:hAnsi="Tahoma" w:cs="Tahoma"/>
        </w:rPr>
        <w:t>26.548.541 /41.241.089</w:t>
      </w:r>
      <w:r w:rsidR="005A36ED" w:rsidRPr="00AD4CE9">
        <w:rPr>
          <w:rFonts w:ascii="Tahoma" w:hAnsi="Tahoma" w:cs="Tahoma"/>
        </w:rPr>
        <w:t xml:space="preserve"> </w:t>
      </w:r>
      <w:r w:rsidR="00310359">
        <w:rPr>
          <w:rFonts w:ascii="Tahoma" w:hAnsi="Tahoma" w:cs="Tahoma"/>
        </w:rPr>
        <w:t>= 64.3</w:t>
      </w:r>
      <w:r w:rsidRPr="00AD4CE9">
        <w:rPr>
          <w:rFonts w:ascii="Tahoma" w:hAnsi="Tahoma" w:cs="Tahoma"/>
        </w:rPr>
        <w:t>%</w:t>
      </w: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porcentaje establecido a</w:t>
      </w:r>
      <w:r w:rsidR="00402C3D">
        <w:rPr>
          <w:rFonts w:ascii="Tahoma" w:hAnsi="Tahoma" w:cs="Tahoma"/>
        </w:rPr>
        <w:t>nter</w:t>
      </w:r>
      <w:r w:rsidR="00310359">
        <w:rPr>
          <w:rFonts w:ascii="Tahoma" w:hAnsi="Tahoma" w:cs="Tahoma"/>
        </w:rPr>
        <w:t>iormente nos indica que el 64.37</w:t>
      </w:r>
      <w:r w:rsidRPr="00AD4CE9">
        <w:rPr>
          <w:rFonts w:ascii="Tahoma" w:hAnsi="Tahoma" w:cs="Tahoma"/>
        </w:rPr>
        <w:t>% de los activos, están siendo financiados con capital propio.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6756E8" w:rsidP="000F1700">
      <w:pPr>
        <w:pStyle w:val="Prrafodelista"/>
        <w:numPr>
          <w:ilvl w:val="0"/>
          <w:numId w:val="2"/>
        </w:numPr>
        <w:spacing w:before="0" w:after="0" w:line="228" w:lineRule="auto"/>
        <w:jc w:val="both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CONCEPTUALIZACION SO</w:t>
      </w:r>
      <w:r w:rsidR="00402C3D">
        <w:rPr>
          <w:rFonts w:ascii="Tahoma" w:hAnsi="Tahoma" w:cs="Tahoma"/>
          <w:b/>
        </w:rPr>
        <w:t>BRE LOS ESTADOS FINANCIEROS 2015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31035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municipio de Natagaima</w:t>
      </w:r>
      <w:r w:rsidR="00402C3D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 xml:space="preserve"> de</w:t>
      </w:r>
      <w:r w:rsidR="005A36ED" w:rsidRPr="00AD4CE9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 xml:space="preserve">acuerdo con su Balance General terminado en la fecha, se observa que sus activos totales crecieron un </w:t>
      </w:r>
      <w:r>
        <w:rPr>
          <w:rFonts w:ascii="Tahoma" w:hAnsi="Tahoma" w:cs="Tahoma"/>
        </w:rPr>
        <w:t>35.19% en la suma de  $10.733.971</w:t>
      </w:r>
      <w:r w:rsidR="00402C3D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>(mi</w:t>
      </w:r>
      <w:r w:rsidR="00402C3D">
        <w:rPr>
          <w:rFonts w:ascii="Tahoma" w:hAnsi="Tahoma" w:cs="Tahoma"/>
        </w:rPr>
        <w:t>l</w:t>
      </w:r>
      <w:r w:rsidR="006756E8" w:rsidRPr="00AD4CE9">
        <w:rPr>
          <w:rFonts w:ascii="Tahoma" w:hAnsi="Tahoma" w:cs="Tahoma"/>
        </w:rPr>
        <w:t xml:space="preserve">es de </w:t>
      </w:r>
      <w:r w:rsidR="00402C3D">
        <w:rPr>
          <w:rFonts w:ascii="Tahoma" w:hAnsi="Tahoma" w:cs="Tahoma"/>
        </w:rPr>
        <w:t>$), con relación al periodo 2014</w:t>
      </w:r>
      <w:r w:rsidR="006756E8" w:rsidRPr="00AD4CE9">
        <w:rPr>
          <w:rFonts w:ascii="Tahoma" w:hAnsi="Tahoma" w:cs="Tahoma"/>
        </w:rPr>
        <w:t>, reflejados en las cuentas Depósitos en Instituciones Financieras y Deudores.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Default="00B74E57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 patrimonio creció un 15.43</w:t>
      </w:r>
      <w:r w:rsidR="006756E8" w:rsidRPr="00AD4CE9">
        <w:rPr>
          <w:rFonts w:ascii="Tahoma" w:hAnsi="Tahoma" w:cs="Tahoma"/>
        </w:rPr>
        <w:t xml:space="preserve">%, apalancado principalmente por la cuenta </w:t>
      </w:r>
      <w:r>
        <w:rPr>
          <w:rFonts w:ascii="Tahoma" w:hAnsi="Tahoma" w:cs="Tahoma"/>
        </w:rPr>
        <w:t>de capital fiscal que presenta un crecimiento del 23.24%</w:t>
      </w:r>
      <w:r w:rsidR="000D2062" w:rsidRPr="00AD4CE9">
        <w:rPr>
          <w:rFonts w:ascii="Tahoma" w:hAnsi="Tahoma" w:cs="Tahoma"/>
        </w:rPr>
        <w:t xml:space="preserve"> por la suma de $</w:t>
      </w:r>
      <w:r>
        <w:rPr>
          <w:rFonts w:ascii="Tahoma" w:hAnsi="Tahoma" w:cs="Tahoma"/>
        </w:rPr>
        <w:t xml:space="preserve">4.837,9 </w:t>
      </w:r>
      <w:r w:rsidR="000D2062" w:rsidRPr="00AD4CE9">
        <w:rPr>
          <w:rFonts w:ascii="Tahoma" w:hAnsi="Tahoma" w:cs="Tahoma"/>
        </w:rPr>
        <w:t xml:space="preserve"> miles de </w:t>
      </w:r>
      <w:r>
        <w:rPr>
          <w:rFonts w:ascii="Tahoma" w:hAnsi="Tahoma" w:cs="Tahoma"/>
        </w:rPr>
        <w:t>millones.</w:t>
      </w:r>
    </w:p>
    <w:p w:rsidR="00AD4CE9" w:rsidRPr="00AD4CE9" w:rsidRDefault="00AD4CE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Su estructura financiera al </w:t>
      </w:r>
      <w:r w:rsidR="00402C3D">
        <w:rPr>
          <w:rFonts w:ascii="Tahoma" w:hAnsi="Tahoma" w:cs="Tahoma"/>
        </w:rPr>
        <w:t>cierre del periodo contable 2015</w:t>
      </w:r>
      <w:r w:rsidR="00B74E57">
        <w:rPr>
          <w:rFonts w:ascii="Tahoma" w:hAnsi="Tahoma" w:cs="Tahoma"/>
        </w:rPr>
        <w:t>, estaba representada en el 35.62% los pasivos y el 64.38</w:t>
      </w:r>
      <w:r w:rsidRPr="00AD4CE9">
        <w:rPr>
          <w:rFonts w:ascii="Tahoma" w:hAnsi="Tahoma" w:cs="Tahoma"/>
        </w:rPr>
        <w:t>% el patrimonio.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municipio presenta un nivel de endeudamiento bajo respecto al total de sus activos, alcanzando un margen del </w:t>
      </w:r>
      <w:r w:rsidR="00B74E57">
        <w:rPr>
          <w:rFonts w:ascii="Tahoma" w:hAnsi="Tahoma" w:cs="Tahoma"/>
        </w:rPr>
        <w:t>31.43</w:t>
      </w:r>
      <w:r w:rsidRPr="00AD4CE9">
        <w:rPr>
          <w:rFonts w:ascii="Tahoma" w:hAnsi="Tahoma" w:cs="Tahoma"/>
        </w:rPr>
        <w:t>%.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De acuerdo con los resultados de sus indicadores </w:t>
      </w:r>
      <w:r w:rsidR="00C83948" w:rsidRPr="00AD4CE9">
        <w:rPr>
          <w:rFonts w:ascii="Tahoma" w:hAnsi="Tahoma" w:cs="Tahoma"/>
        </w:rPr>
        <w:t>podemo</w:t>
      </w:r>
      <w:r w:rsidR="00273691">
        <w:rPr>
          <w:rFonts w:ascii="Tahoma" w:hAnsi="Tahoma" w:cs="Tahoma"/>
        </w:rPr>
        <w:t>s concl</w:t>
      </w:r>
      <w:r w:rsidR="00402C3D">
        <w:rPr>
          <w:rFonts w:ascii="Tahoma" w:hAnsi="Tahoma" w:cs="Tahoma"/>
        </w:rPr>
        <w:t>uir que el municipio de Melgar</w:t>
      </w:r>
      <w:r w:rsidR="00273691">
        <w:rPr>
          <w:rFonts w:ascii="Tahoma" w:hAnsi="Tahoma" w:cs="Tahoma"/>
        </w:rPr>
        <w:t xml:space="preserve"> </w:t>
      </w:r>
      <w:r w:rsidR="00C83948" w:rsidRPr="00AD4CE9">
        <w:rPr>
          <w:rFonts w:ascii="Tahoma" w:hAnsi="Tahoma" w:cs="Tahoma"/>
        </w:rPr>
        <w:t>al corte del 3</w:t>
      </w:r>
      <w:r w:rsidR="00273691">
        <w:rPr>
          <w:rFonts w:ascii="Tahoma" w:hAnsi="Tahoma" w:cs="Tahoma"/>
        </w:rPr>
        <w:t>1</w:t>
      </w:r>
      <w:r w:rsidR="00402C3D">
        <w:rPr>
          <w:rFonts w:ascii="Tahoma" w:hAnsi="Tahoma" w:cs="Tahoma"/>
        </w:rPr>
        <w:t xml:space="preserve"> de diciembre de 2015</w:t>
      </w:r>
      <w:r w:rsidR="00C83948" w:rsidRPr="00AD4CE9">
        <w:rPr>
          <w:rFonts w:ascii="Tahoma" w:hAnsi="Tahoma" w:cs="Tahoma"/>
        </w:rPr>
        <w:t>, presentaba una situación financiera favorable.</w:t>
      </w:r>
    </w:p>
    <w:sectPr w:rsidR="00A7456E" w:rsidRPr="00AD4CE9" w:rsidSect="00AE6F6A">
      <w:headerReference w:type="default" r:id="rId11"/>
      <w:footerReference w:type="default" r:id="rId12"/>
      <w:pgSz w:w="12242" w:h="15842" w:code="1"/>
      <w:pgMar w:top="2376" w:right="1701" w:bottom="2268" w:left="1701" w:header="18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14C" w:rsidRDefault="004F114C" w:rsidP="00650A99">
      <w:r>
        <w:separator/>
      </w:r>
    </w:p>
  </w:endnote>
  <w:endnote w:type="continuationSeparator" w:id="0">
    <w:p w:rsidR="004F114C" w:rsidRDefault="004F114C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Pr="00070555" w:rsidRDefault="002F54E8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0915D27" wp14:editId="43AF8EB7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Pr="003205FF" w:rsidRDefault="00440EAB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="003205FF"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A2371A" w:rsidRPr="00A2371A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5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="003205FF"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="00A2371A">
                            <w:fldChar w:fldCharType="begin"/>
                          </w:r>
                          <w:r w:rsidR="00A2371A">
                            <w:instrText>NUMPAGES  \* Arabic  \* MERGEFORMAT</w:instrText>
                          </w:r>
                          <w:r w:rsidR="00A2371A">
                            <w:fldChar w:fldCharType="separate"/>
                          </w:r>
                          <w:r w:rsidR="00A2371A" w:rsidRPr="00A2371A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8</w:t>
                          </w:r>
                          <w:r w:rsidR="00A2371A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915D2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DD0981" w:rsidRPr="003205FF" w:rsidRDefault="00440EAB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="003205FF"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A2371A" w:rsidRPr="00A2371A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5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="003205FF"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r w:rsidR="00A2371A">
                      <w:fldChar w:fldCharType="begin"/>
                    </w:r>
                    <w:r w:rsidR="00A2371A">
                      <w:instrText>NUMPAGES  \* Arabic  \* MERGEFORMAT</w:instrText>
                    </w:r>
                    <w:r w:rsidR="00A2371A">
                      <w:fldChar w:fldCharType="separate"/>
                    </w:r>
                    <w:r w:rsidR="00A2371A" w:rsidRPr="00A2371A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8</w:t>
                    </w:r>
                    <w:r w:rsidR="00A2371A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02CB63" wp14:editId="234164B1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Default="00DD09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02CB63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DD0981" w:rsidRDefault="00DD0981"/>
                </w:txbxContent>
              </v:textbox>
            </v:shape>
          </w:pict>
        </mc:Fallback>
      </mc:AlternateContent>
    </w:r>
  </w:p>
  <w:p w:rsidR="00DD0981" w:rsidRPr="00070555" w:rsidRDefault="002F54E8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EC097F8" wp14:editId="5D92CB60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3205FF" w:rsidRPr="003205FF" w:rsidRDefault="00A2371A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3205FF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DD0981" w:rsidRPr="000352F0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Web-</w:t>
                          </w:r>
                          <w:proofErr w:type="spellStart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Site</w:t>
                          </w:r>
                          <w:proofErr w:type="spellEnd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DD0981" w:rsidRPr="00A926CE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C097F8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3205FF" w:rsidRPr="003205FF" w:rsidRDefault="00A2371A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3205FF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DD0981" w:rsidRPr="000352F0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Web-</w:t>
                    </w:r>
                    <w:proofErr w:type="spellStart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Site</w:t>
                    </w:r>
                    <w:proofErr w:type="spellEnd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DD0981" w:rsidRPr="00A926CE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14C" w:rsidRDefault="004F114C" w:rsidP="00650A99">
      <w:r>
        <w:separator/>
      </w:r>
    </w:p>
  </w:footnote>
  <w:footnote w:type="continuationSeparator" w:id="0">
    <w:p w:rsidR="004F114C" w:rsidRDefault="004F114C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Pr="00124F58" w:rsidRDefault="00DD0981">
    <w:pPr>
      <w:pStyle w:val="Encabezado"/>
      <w:rPr>
        <w:rFonts w:ascii="Tahoma" w:hAnsi="Tahoma" w:cs="Tahoma"/>
        <w:sz w:val="8"/>
      </w:rPr>
    </w:pPr>
  </w:p>
  <w:p w:rsidR="00DD0981" w:rsidRDefault="00AE6F6A">
    <w:pPr>
      <w:pStyle w:val="Encabezado"/>
    </w:pPr>
    <w:r>
      <w:rPr>
        <w:noProof/>
      </w:rPr>
      <w:drawing>
        <wp:inline distT="0" distB="0" distL="0" distR="0" wp14:anchorId="4E02E09D" wp14:editId="5F6FD6D4">
          <wp:extent cx="1571625" cy="1219200"/>
          <wp:effectExtent l="0" t="0" r="952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6F9A2C8F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05BD7"/>
    <w:rsid w:val="00014DDB"/>
    <w:rsid w:val="000167CA"/>
    <w:rsid w:val="00025419"/>
    <w:rsid w:val="0003468E"/>
    <w:rsid w:val="000352F0"/>
    <w:rsid w:val="00043E5E"/>
    <w:rsid w:val="00044B50"/>
    <w:rsid w:val="000467A1"/>
    <w:rsid w:val="000479B3"/>
    <w:rsid w:val="0005757F"/>
    <w:rsid w:val="00062A7C"/>
    <w:rsid w:val="00063566"/>
    <w:rsid w:val="00070555"/>
    <w:rsid w:val="0007281C"/>
    <w:rsid w:val="00073152"/>
    <w:rsid w:val="000732A3"/>
    <w:rsid w:val="00074463"/>
    <w:rsid w:val="00074EF9"/>
    <w:rsid w:val="00081AAB"/>
    <w:rsid w:val="00084FFA"/>
    <w:rsid w:val="000913E2"/>
    <w:rsid w:val="00092D3A"/>
    <w:rsid w:val="00096CAD"/>
    <w:rsid w:val="000971C2"/>
    <w:rsid w:val="000A4FDA"/>
    <w:rsid w:val="000A5F72"/>
    <w:rsid w:val="000B2584"/>
    <w:rsid w:val="000C640F"/>
    <w:rsid w:val="000C699D"/>
    <w:rsid w:val="000D2062"/>
    <w:rsid w:val="000D715E"/>
    <w:rsid w:val="000E117C"/>
    <w:rsid w:val="000E1460"/>
    <w:rsid w:val="000E42DA"/>
    <w:rsid w:val="000E46FA"/>
    <w:rsid w:val="000F1700"/>
    <w:rsid w:val="000F17B4"/>
    <w:rsid w:val="000F4FA1"/>
    <w:rsid w:val="001077DC"/>
    <w:rsid w:val="00124F58"/>
    <w:rsid w:val="001301DF"/>
    <w:rsid w:val="00131E4E"/>
    <w:rsid w:val="00132C47"/>
    <w:rsid w:val="0013431C"/>
    <w:rsid w:val="001361E3"/>
    <w:rsid w:val="0014091C"/>
    <w:rsid w:val="001531E5"/>
    <w:rsid w:val="00154430"/>
    <w:rsid w:val="001605A0"/>
    <w:rsid w:val="00160B31"/>
    <w:rsid w:val="001666F5"/>
    <w:rsid w:val="0017250D"/>
    <w:rsid w:val="001A5473"/>
    <w:rsid w:val="001B7E9B"/>
    <w:rsid w:val="001D30AE"/>
    <w:rsid w:val="001E0386"/>
    <w:rsid w:val="001E19D5"/>
    <w:rsid w:val="001E2459"/>
    <w:rsid w:val="001E6C74"/>
    <w:rsid w:val="001F3E0C"/>
    <w:rsid w:val="00203B8E"/>
    <w:rsid w:val="002049C5"/>
    <w:rsid w:val="00204E7B"/>
    <w:rsid w:val="00216974"/>
    <w:rsid w:val="00217490"/>
    <w:rsid w:val="00224140"/>
    <w:rsid w:val="00226503"/>
    <w:rsid w:val="002467D6"/>
    <w:rsid w:val="00250B2A"/>
    <w:rsid w:val="00254A87"/>
    <w:rsid w:val="002608D4"/>
    <w:rsid w:val="00267A53"/>
    <w:rsid w:val="002702FE"/>
    <w:rsid w:val="00273691"/>
    <w:rsid w:val="002751D2"/>
    <w:rsid w:val="002855A9"/>
    <w:rsid w:val="00293B22"/>
    <w:rsid w:val="00293DE7"/>
    <w:rsid w:val="00294FB6"/>
    <w:rsid w:val="00297AD1"/>
    <w:rsid w:val="002A5283"/>
    <w:rsid w:val="002C24CB"/>
    <w:rsid w:val="002C31ED"/>
    <w:rsid w:val="002D03DF"/>
    <w:rsid w:val="002D3A88"/>
    <w:rsid w:val="002D62AF"/>
    <w:rsid w:val="002E1436"/>
    <w:rsid w:val="002E7240"/>
    <w:rsid w:val="002F54E8"/>
    <w:rsid w:val="003026A2"/>
    <w:rsid w:val="00303824"/>
    <w:rsid w:val="00306CC6"/>
    <w:rsid w:val="00310359"/>
    <w:rsid w:val="003205FF"/>
    <w:rsid w:val="00321EC8"/>
    <w:rsid w:val="003305B2"/>
    <w:rsid w:val="00332DE4"/>
    <w:rsid w:val="00334968"/>
    <w:rsid w:val="00341B3E"/>
    <w:rsid w:val="00351487"/>
    <w:rsid w:val="00356B3F"/>
    <w:rsid w:val="00367CB1"/>
    <w:rsid w:val="00372F40"/>
    <w:rsid w:val="00375CC7"/>
    <w:rsid w:val="0039183D"/>
    <w:rsid w:val="00391C14"/>
    <w:rsid w:val="00397766"/>
    <w:rsid w:val="003A5822"/>
    <w:rsid w:val="003B11DD"/>
    <w:rsid w:val="003B72A8"/>
    <w:rsid w:val="003B7F8F"/>
    <w:rsid w:val="003C0774"/>
    <w:rsid w:val="003C5E57"/>
    <w:rsid w:val="003D499A"/>
    <w:rsid w:val="003D5BDF"/>
    <w:rsid w:val="003E25A9"/>
    <w:rsid w:val="003F5E08"/>
    <w:rsid w:val="00402C3D"/>
    <w:rsid w:val="004032C1"/>
    <w:rsid w:val="00407637"/>
    <w:rsid w:val="004120E2"/>
    <w:rsid w:val="00426FB0"/>
    <w:rsid w:val="00430D77"/>
    <w:rsid w:val="00440EAB"/>
    <w:rsid w:val="00452E65"/>
    <w:rsid w:val="00454B8B"/>
    <w:rsid w:val="00461871"/>
    <w:rsid w:val="00466271"/>
    <w:rsid w:val="0046718C"/>
    <w:rsid w:val="004674EF"/>
    <w:rsid w:val="00467508"/>
    <w:rsid w:val="00467595"/>
    <w:rsid w:val="00480FCA"/>
    <w:rsid w:val="0048203B"/>
    <w:rsid w:val="0049303C"/>
    <w:rsid w:val="00496461"/>
    <w:rsid w:val="004A00E3"/>
    <w:rsid w:val="004A31AA"/>
    <w:rsid w:val="004B3739"/>
    <w:rsid w:val="004C10FE"/>
    <w:rsid w:val="004C250E"/>
    <w:rsid w:val="004C27B6"/>
    <w:rsid w:val="004C2EA2"/>
    <w:rsid w:val="004E17F3"/>
    <w:rsid w:val="004E3F57"/>
    <w:rsid w:val="004E585C"/>
    <w:rsid w:val="004F114C"/>
    <w:rsid w:val="004F2F93"/>
    <w:rsid w:val="004F4C50"/>
    <w:rsid w:val="00506345"/>
    <w:rsid w:val="00516E68"/>
    <w:rsid w:val="00520FA4"/>
    <w:rsid w:val="0052650A"/>
    <w:rsid w:val="005279E8"/>
    <w:rsid w:val="00551920"/>
    <w:rsid w:val="00552A0E"/>
    <w:rsid w:val="00556949"/>
    <w:rsid w:val="00560B0C"/>
    <w:rsid w:val="00560CA3"/>
    <w:rsid w:val="00562B5C"/>
    <w:rsid w:val="00563F32"/>
    <w:rsid w:val="00585BCF"/>
    <w:rsid w:val="00585ED0"/>
    <w:rsid w:val="00590A7E"/>
    <w:rsid w:val="005916D2"/>
    <w:rsid w:val="00595ED2"/>
    <w:rsid w:val="005A36ED"/>
    <w:rsid w:val="005A4F01"/>
    <w:rsid w:val="005B6F12"/>
    <w:rsid w:val="005C163A"/>
    <w:rsid w:val="005C3743"/>
    <w:rsid w:val="005D533E"/>
    <w:rsid w:val="005D66B0"/>
    <w:rsid w:val="005E1DE9"/>
    <w:rsid w:val="005E5E78"/>
    <w:rsid w:val="005F356A"/>
    <w:rsid w:val="00603AAD"/>
    <w:rsid w:val="00605900"/>
    <w:rsid w:val="006068E9"/>
    <w:rsid w:val="006074FF"/>
    <w:rsid w:val="00617A76"/>
    <w:rsid w:val="00617E98"/>
    <w:rsid w:val="00630301"/>
    <w:rsid w:val="00644A95"/>
    <w:rsid w:val="00650A99"/>
    <w:rsid w:val="00652DA3"/>
    <w:rsid w:val="0065368E"/>
    <w:rsid w:val="00654211"/>
    <w:rsid w:val="00670D69"/>
    <w:rsid w:val="00672971"/>
    <w:rsid w:val="006756E8"/>
    <w:rsid w:val="0067758A"/>
    <w:rsid w:val="00682027"/>
    <w:rsid w:val="00687B70"/>
    <w:rsid w:val="00692975"/>
    <w:rsid w:val="006A5FCB"/>
    <w:rsid w:val="006B765E"/>
    <w:rsid w:val="006C051C"/>
    <w:rsid w:val="006D20E4"/>
    <w:rsid w:val="006D2B4A"/>
    <w:rsid w:val="00700DB0"/>
    <w:rsid w:val="0070120A"/>
    <w:rsid w:val="007062D9"/>
    <w:rsid w:val="00706545"/>
    <w:rsid w:val="00715B3F"/>
    <w:rsid w:val="00715B59"/>
    <w:rsid w:val="00745063"/>
    <w:rsid w:val="00747180"/>
    <w:rsid w:val="00754337"/>
    <w:rsid w:val="00764ABD"/>
    <w:rsid w:val="00770276"/>
    <w:rsid w:val="00770ADC"/>
    <w:rsid w:val="00771928"/>
    <w:rsid w:val="00773282"/>
    <w:rsid w:val="00796DDA"/>
    <w:rsid w:val="00797E0C"/>
    <w:rsid w:val="007B4882"/>
    <w:rsid w:val="007B70F7"/>
    <w:rsid w:val="007C4270"/>
    <w:rsid w:val="007F7C04"/>
    <w:rsid w:val="00800EEF"/>
    <w:rsid w:val="008036D7"/>
    <w:rsid w:val="00814D3D"/>
    <w:rsid w:val="00815D0B"/>
    <w:rsid w:val="00820529"/>
    <w:rsid w:val="00821EDD"/>
    <w:rsid w:val="00827082"/>
    <w:rsid w:val="00832014"/>
    <w:rsid w:val="008326D2"/>
    <w:rsid w:val="00862966"/>
    <w:rsid w:val="00872CA8"/>
    <w:rsid w:val="008761A0"/>
    <w:rsid w:val="00897455"/>
    <w:rsid w:val="008A0D33"/>
    <w:rsid w:val="008A0D90"/>
    <w:rsid w:val="008A1B70"/>
    <w:rsid w:val="008A5D7F"/>
    <w:rsid w:val="008E2ADB"/>
    <w:rsid w:val="008E40B7"/>
    <w:rsid w:val="008E6775"/>
    <w:rsid w:val="008F6815"/>
    <w:rsid w:val="009058D0"/>
    <w:rsid w:val="00907660"/>
    <w:rsid w:val="00914565"/>
    <w:rsid w:val="00921D04"/>
    <w:rsid w:val="00926B45"/>
    <w:rsid w:val="009339AC"/>
    <w:rsid w:val="00934CE3"/>
    <w:rsid w:val="00942761"/>
    <w:rsid w:val="00942F02"/>
    <w:rsid w:val="00943029"/>
    <w:rsid w:val="009471EB"/>
    <w:rsid w:val="00957662"/>
    <w:rsid w:val="009606B3"/>
    <w:rsid w:val="00966EAD"/>
    <w:rsid w:val="00974E10"/>
    <w:rsid w:val="0098778A"/>
    <w:rsid w:val="00990B51"/>
    <w:rsid w:val="00991F22"/>
    <w:rsid w:val="009C0615"/>
    <w:rsid w:val="009D7ECE"/>
    <w:rsid w:val="009F0EF0"/>
    <w:rsid w:val="009F3F48"/>
    <w:rsid w:val="00A04FA7"/>
    <w:rsid w:val="00A2371A"/>
    <w:rsid w:val="00A32BD8"/>
    <w:rsid w:val="00A34FD5"/>
    <w:rsid w:val="00A43B37"/>
    <w:rsid w:val="00A44F64"/>
    <w:rsid w:val="00A47CA0"/>
    <w:rsid w:val="00A57CC2"/>
    <w:rsid w:val="00A642C7"/>
    <w:rsid w:val="00A65971"/>
    <w:rsid w:val="00A7456E"/>
    <w:rsid w:val="00A7495A"/>
    <w:rsid w:val="00A839F4"/>
    <w:rsid w:val="00A84657"/>
    <w:rsid w:val="00A85837"/>
    <w:rsid w:val="00A926CE"/>
    <w:rsid w:val="00A9371D"/>
    <w:rsid w:val="00AA22C9"/>
    <w:rsid w:val="00AA75DD"/>
    <w:rsid w:val="00AB37B1"/>
    <w:rsid w:val="00AC2B0C"/>
    <w:rsid w:val="00AC6DD0"/>
    <w:rsid w:val="00AD4CE9"/>
    <w:rsid w:val="00AD56DB"/>
    <w:rsid w:val="00AE45E6"/>
    <w:rsid w:val="00AE6F6A"/>
    <w:rsid w:val="00AF71D3"/>
    <w:rsid w:val="00B0252C"/>
    <w:rsid w:val="00B11E2E"/>
    <w:rsid w:val="00B179EC"/>
    <w:rsid w:val="00B17D06"/>
    <w:rsid w:val="00B21A6F"/>
    <w:rsid w:val="00B229DE"/>
    <w:rsid w:val="00B235FD"/>
    <w:rsid w:val="00B245DE"/>
    <w:rsid w:val="00B24CA8"/>
    <w:rsid w:val="00B258AA"/>
    <w:rsid w:val="00B34497"/>
    <w:rsid w:val="00B430BE"/>
    <w:rsid w:val="00B5291B"/>
    <w:rsid w:val="00B6483D"/>
    <w:rsid w:val="00B65897"/>
    <w:rsid w:val="00B66376"/>
    <w:rsid w:val="00B7024B"/>
    <w:rsid w:val="00B74E57"/>
    <w:rsid w:val="00B74F06"/>
    <w:rsid w:val="00B773B4"/>
    <w:rsid w:val="00B83BF2"/>
    <w:rsid w:val="00B8540B"/>
    <w:rsid w:val="00B97673"/>
    <w:rsid w:val="00BB2EB5"/>
    <w:rsid w:val="00BB3D88"/>
    <w:rsid w:val="00BC5D7D"/>
    <w:rsid w:val="00BD3082"/>
    <w:rsid w:val="00BE325A"/>
    <w:rsid w:val="00C0423C"/>
    <w:rsid w:val="00C06948"/>
    <w:rsid w:val="00C20CA8"/>
    <w:rsid w:val="00C276A2"/>
    <w:rsid w:val="00C334D1"/>
    <w:rsid w:val="00C35423"/>
    <w:rsid w:val="00C35A0C"/>
    <w:rsid w:val="00C36BE7"/>
    <w:rsid w:val="00C404DC"/>
    <w:rsid w:val="00C43064"/>
    <w:rsid w:val="00C54674"/>
    <w:rsid w:val="00C661A2"/>
    <w:rsid w:val="00C6685D"/>
    <w:rsid w:val="00C70370"/>
    <w:rsid w:val="00C81FC2"/>
    <w:rsid w:val="00C83948"/>
    <w:rsid w:val="00C86E28"/>
    <w:rsid w:val="00CA340D"/>
    <w:rsid w:val="00CB47E0"/>
    <w:rsid w:val="00CC0170"/>
    <w:rsid w:val="00CC38D6"/>
    <w:rsid w:val="00CC74DC"/>
    <w:rsid w:val="00CD5CCB"/>
    <w:rsid w:val="00CE3D10"/>
    <w:rsid w:val="00CE6524"/>
    <w:rsid w:val="00CF0493"/>
    <w:rsid w:val="00CF6745"/>
    <w:rsid w:val="00D42439"/>
    <w:rsid w:val="00D718F8"/>
    <w:rsid w:val="00D71C09"/>
    <w:rsid w:val="00D774B6"/>
    <w:rsid w:val="00D81436"/>
    <w:rsid w:val="00D85DD3"/>
    <w:rsid w:val="00DA07E0"/>
    <w:rsid w:val="00DA76D0"/>
    <w:rsid w:val="00DB2278"/>
    <w:rsid w:val="00DD0981"/>
    <w:rsid w:val="00DD5CA9"/>
    <w:rsid w:val="00E00EAB"/>
    <w:rsid w:val="00E06024"/>
    <w:rsid w:val="00E16EF6"/>
    <w:rsid w:val="00E35BA6"/>
    <w:rsid w:val="00E37DA4"/>
    <w:rsid w:val="00E438FA"/>
    <w:rsid w:val="00E44E11"/>
    <w:rsid w:val="00E562E9"/>
    <w:rsid w:val="00E745B9"/>
    <w:rsid w:val="00E80CF1"/>
    <w:rsid w:val="00EC5776"/>
    <w:rsid w:val="00ED18CB"/>
    <w:rsid w:val="00F067EF"/>
    <w:rsid w:val="00F11CE8"/>
    <w:rsid w:val="00F152E9"/>
    <w:rsid w:val="00F413A2"/>
    <w:rsid w:val="00F56475"/>
    <w:rsid w:val="00F57D5F"/>
    <w:rsid w:val="00F64422"/>
    <w:rsid w:val="00F74A4C"/>
    <w:rsid w:val="00FA4C6D"/>
    <w:rsid w:val="00FB1D70"/>
    <w:rsid w:val="00FC413F"/>
    <w:rsid w:val="00FD1869"/>
    <w:rsid w:val="00FD52EC"/>
    <w:rsid w:val="00FE438F"/>
    <w:rsid w:val="00FE538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7F138AD8-D753-4E45-AE49-DB72572E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F:\informe%20fiscal%20y%20financiero\Natagaima\Cuadro%20Comparativo.xls" TargetMode="External"/><Relationship Id="rId1" Type="http://schemas.openxmlformats.org/officeDocument/2006/relationships/image" Target="../media/image2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CO" sz="1400"/>
              <a:t>Balance General Comparativo </a:t>
            </a:r>
          </a:p>
          <a:p>
            <a:pPr>
              <a:defRPr/>
            </a:pPr>
            <a:r>
              <a:rPr lang="es-CO" sz="1400" b="0"/>
              <a:t>(miles de pesos)</a:t>
            </a:r>
          </a:p>
        </c:rich>
      </c:tx>
      <c:layout/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Graficas!$B$3</c:f>
              <c:strCache>
                <c:ptCount val="1"/>
                <c:pt idx="0">
                  <c:v>2015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Graficas!$A$4:$A$6</c:f>
              <c:strCache>
                <c:ptCount val="3"/>
                <c:pt idx="0">
                  <c:v>ACTIVOS </c:v>
                </c:pt>
                <c:pt idx="1">
                  <c:v>PASIVOS </c:v>
                </c:pt>
                <c:pt idx="2">
                  <c:v>PATRIMONIO </c:v>
                </c:pt>
              </c:strCache>
            </c:strRef>
          </c:cat>
          <c:val>
            <c:numRef>
              <c:f>Graficas!$B$4:$B$6</c:f>
              <c:numCache>
                <c:formatCode>0</c:formatCode>
                <c:ptCount val="3"/>
                <c:pt idx="0">
                  <c:v>41241089</c:v>
                </c:pt>
                <c:pt idx="1">
                  <c:v>14692548</c:v>
                </c:pt>
                <c:pt idx="2">
                  <c:v>26548541</c:v>
                </c:pt>
              </c:numCache>
            </c:numRef>
          </c:val>
        </c:ser>
        <c:ser>
          <c:idx val="1"/>
          <c:order val="1"/>
          <c:tx>
            <c:strRef>
              <c:f>Graficas!$C$3</c:f>
              <c:strCache>
                <c:ptCount val="1"/>
                <c:pt idx="0">
                  <c:v>2014</c:v>
                </c:pt>
              </c:strCache>
            </c:strRef>
          </c:tx>
          <c:invertIfNegative val="0"/>
          <c:dLbls>
            <c:dLbl>
              <c:idx val="0"/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1666666666666664E-2"/>
                  <c:y val="1.8518518518518517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Graficas!$A$4:$A$6</c:f>
              <c:strCache>
                <c:ptCount val="3"/>
                <c:pt idx="0">
                  <c:v>ACTIVOS </c:v>
                </c:pt>
                <c:pt idx="1">
                  <c:v>PASIVOS </c:v>
                </c:pt>
                <c:pt idx="2">
                  <c:v>PATRIMONIO </c:v>
                </c:pt>
              </c:strCache>
            </c:strRef>
          </c:cat>
          <c:val>
            <c:numRef>
              <c:f>Graficas!$C$4:$C$6</c:f>
              <c:numCache>
                <c:formatCode>0</c:formatCode>
                <c:ptCount val="3"/>
                <c:pt idx="0">
                  <c:v>30507118</c:v>
                </c:pt>
                <c:pt idx="1">
                  <c:v>7507162</c:v>
                </c:pt>
                <c:pt idx="2">
                  <c:v>22999956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17878496"/>
        <c:axId val="217883936"/>
        <c:axId val="0"/>
      </c:bar3DChart>
      <c:catAx>
        <c:axId val="217878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s-CO"/>
          </a:p>
        </c:txPr>
        <c:crossAx val="217883936"/>
        <c:crosses val="autoZero"/>
        <c:auto val="1"/>
        <c:lblAlgn val="ctr"/>
        <c:lblOffset val="100"/>
        <c:noMultiLvlLbl val="0"/>
      </c:catAx>
      <c:valAx>
        <c:axId val="217883936"/>
        <c:scaling>
          <c:orientation val="minMax"/>
        </c:scaling>
        <c:delete val="0"/>
        <c:axPos val="l"/>
        <c:majorGridlines/>
        <c:numFmt formatCode="0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s-CO"/>
          </a:p>
        </c:txPr>
        <c:crossAx val="21787849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8</Pages>
  <Words>1289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15</cp:revision>
  <cp:lastPrinted>2016-12-25T22:00:00Z</cp:lastPrinted>
  <dcterms:created xsi:type="dcterms:W3CDTF">2015-09-24T21:09:00Z</dcterms:created>
  <dcterms:modified xsi:type="dcterms:W3CDTF">2016-12-25T22:00:00Z</dcterms:modified>
</cp:coreProperties>
</file>